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otnotes.xml" ContentType="application/vnd.openxmlformats-officedocument.wordprocessingml.footnot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27D62FEA" wp14:paraId="57FBC7A7" wp14:textId="52F6F7A4">
      <w:pPr>
        <w:pStyle w:val="Normal"/>
        <w:jc w:val="both"/>
        <w:rPr>
          <w:rFonts w:ascii="Arial Nova" w:hAnsi="Arial Nova" w:eastAsia="Arial Nova" w:cs="Arial Nova" w:asciiTheme="minorAscii" w:hAnsiTheme="minorAscii" w:eastAsiaTheme="minorAscii" w:cstheme="minorAscii"/>
          <w:b w:val="1"/>
          <w:bCs w:val="1"/>
          <w:noProof w:val="0"/>
          <w:sz w:val="24"/>
          <w:szCs w:val="24"/>
          <w:lang w:val="es-ES"/>
        </w:rPr>
      </w:pPr>
      <w:r w:rsidRPr="27D62FEA" w:rsidR="1810AAAF">
        <w:rPr>
          <w:rFonts w:ascii="Arial Nova" w:hAnsi="Arial Nova" w:eastAsia="Arial Nova" w:cs="Arial Nova" w:asciiTheme="minorAscii" w:hAnsiTheme="minorAscii" w:eastAsiaTheme="minorAscii" w:cstheme="minorAscii"/>
          <w:b w:val="1"/>
          <w:bCs w:val="1"/>
          <w:noProof w:val="0"/>
          <w:sz w:val="24"/>
          <w:szCs w:val="24"/>
          <w:lang w:val="es-ES"/>
        </w:rPr>
        <w:t xml:space="preserve">RESPUESTA </w:t>
      </w:r>
      <w:r w:rsidRPr="27D62FEA" w:rsidR="1810AAAF">
        <w:rPr>
          <w:rFonts w:ascii="Arial Nova" w:hAnsi="Arial Nova" w:eastAsia="Arial Nova" w:cs="Arial Nova" w:asciiTheme="minorAscii" w:hAnsiTheme="minorAscii" w:eastAsiaTheme="minorAscii" w:cstheme="minorAscii"/>
          <w:b w:val="1"/>
          <w:bCs w:val="1"/>
          <w:i w:val="0"/>
          <w:iCs w:val="0"/>
          <w:caps w:val="0"/>
          <w:smallCaps w:val="0"/>
          <w:noProof w:val="0"/>
          <w:color w:val="242424"/>
          <w:sz w:val="24"/>
          <w:szCs w:val="24"/>
          <w:lang w:val="es-ES"/>
        </w:rPr>
        <w:t>DFP - Mesa de Dialogo CRIDEC - Resolución 1514 de 2021</w:t>
      </w:r>
    </w:p>
    <w:p xmlns:wp14="http://schemas.microsoft.com/office/word/2010/wordml" w:rsidP="27D62FEA" wp14:paraId="7EAA26C1" wp14:textId="63ACFDD9">
      <w:pPr>
        <w:jc w:val="both"/>
      </w:pPr>
      <w:r w:rsidRPr="27D62FEA" w:rsidR="61C70854">
        <w:rPr>
          <w:rFonts w:ascii="Arial Nova" w:hAnsi="Arial Nova" w:eastAsia="Arial Nova" w:cs="Arial Nova"/>
          <w:noProof w:val="0"/>
          <w:sz w:val="24"/>
          <w:szCs w:val="24"/>
          <w:lang w:val="es-ES"/>
        </w:rPr>
        <w:t>En atención al Radicado No. 202600600803254641, y específicamente al compromiso señalado en el numeral 1 del oficio de la referencia, relacionado con la ejecución del convenio para el fortalecimiento de la Ruta Minera Energética Justa y la Formalización Minera por valor de $1.040.000.000, se informa que dicho compromiso se ejecuta mediante el Convenio Interadministrativo GGC No. 1731 de 2025, suscrito el 19 de septiembre de 2025 entre el Ministerio de Minas y Energía y la Asociación de Cabildos Indígenas de Caldas – ACICAL (NIT 810004361-0), con Otrosí No. 1 del 30 de diciembre de 2025 y fecha de terminación el 28 de febrero de 2026. El convenio tiene por objeto aunar esfuerzos técnicos, administrativos y financieros para avanzar progresivamente en los compromisos CRIDEC de minería y energía del plan de acción 2025, en el marco de la Resolución 1514 de 2021, y es financiado conjuntamente por la Oficina de Asuntos Ambientales y Sociales ($500.000.000) y la Dirección de Formalización Minera ($540.000.000).</w:t>
      </w:r>
    </w:p>
    <w:p xmlns:wp14="http://schemas.microsoft.com/office/word/2010/wordml" w:rsidP="27D62FEA" wp14:paraId="0646DAD0" wp14:textId="5217FBAE">
      <w:pPr>
        <w:jc w:val="both"/>
      </w:pPr>
      <w:r w:rsidRPr="27D62FEA" w:rsidR="61C70854">
        <w:rPr>
          <w:rFonts w:ascii="Arial Nova" w:hAnsi="Arial Nova" w:eastAsia="Arial Nova" w:cs="Arial Nova"/>
          <w:noProof w:val="0"/>
          <w:sz w:val="24"/>
          <w:szCs w:val="24"/>
          <w:lang w:val="es-ES"/>
        </w:rPr>
        <w:t>La presente respuesta, remitida desde la Dirección de Formalización Minera, da cuenta únicamente de los componentes de Ruta Minera Indígena y Pilotos de Buenas Prácticas Mineras del citado convenio, con base en los Informes de Supervisión No. 2 (14 de febrero de 2026) y No. 3 (2 de marzo de 2026). Lo correspondiente a la estrategia de comunidades energéticas (compromisos 2, 3 y 4 del oficio de la referencia) es competencia de la Oficina de Asuntos Ambientales y Sociales y será atendido por dicha dependencia.</w:t>
      </w:r>
    </w:p>
    <w:p xmlns:wp14="http://schemas.microsoft.com/office/word/2010/wordml" w:rsidP="27D62FEA" wp14:paraId="64B19914" wp14:textId="4B5EB95B">
      <w:pPr>
        <w:jc w:val="both"/>
      </w:pPr>
      <w:r w:rsidRPr="27D62FEA" w:rsidR="61C70854">
        <w:rPr>
          <w:rFonts w:ascii="Arial Nova" w:hAnsi="Arial Nova" w:eastAsia="Arial Nova" w:cs="Arial Nova"/>
          <w:b w:val="1"/>
          <w:bCs w:val="1"/>
          <w:noProof w:val="0"/>
          <w:sz w:val="24"/>
          <w:szCs w:val="24"/>
          <w:lang w:val="es-ES"/>
        </w:rPr>
        <w:t>1. Acciones adelantadas:</w:t>
      </w:r>
      <w:r w:rsidRPr="27D62FEA" w:rsidR="61C70854">
        <w:rPr>
          <w:rFonts w:ascii="Arial Nova" w:hAnsi="Arial Nova" w:eastAsia="Arial Nova" w:cs="Arial Nova"/>
          <w:noProof w:val="0"/>
          <w:sz w:val="24"/>
          <w:szCs w:val="24"/>
          <w:lang w:val="es-ES"/>
        </w:rPr>
        <w:t xml:space="preserve"> En el marco de la Ruta Minera Indígena, el CRIDEC–ACICAL desarrolló, con metodología participativa en los </w:t>
      </w:r>
      <w:r w:rsidRPr="27D62FEA" w:rsidR="61C70854">
        <w:rPr>
          <w:rFonts w:ascii="Arial Nova" w:hAnsi="Arial Nova" w:eastAsia="Arial Nova" w:cs="Arial Nova"/>
          <w:noProof w:val="0"/>
          <w:sz w:val="24"/>
          <w:szCs w:val="24"/>
          <w:lang w:val="es-ES"/>
        </w:rPr>
        <w:t>16</w:t>
      </w:r>
      <w:r w:rsidRPr="27D62FEA" w:rsidR="61C70854">
        <w:rPr>
          <w:rFonts w:ascii="Arial Nova" w:hAnsi="Arial Nova" w:eastAsia="Arial Nova" w:cs="Arial Nova"/>
          <w:noProof w:val="0"/>
          <w:sz w:val="24"/>
          <w:szCs w:val="24"/>
          <w:lang w:val="es-ES"/>
        </w:rPr>
        <w:t xml:space="preserve"> territorios indígenas vinculados a la organización</w:t>
      </w:r>
      <w:r w:rsidRPr="27D62FEA">
        <w:rPr>
          <w:rStyle w:val="FootnoteReference"/>
          <w:rFonts w:ascii="Arial Nova" w:hAnsi="Arial Nova" w:eastAsia="Arial Nova" w:cs="Arial Nova"/>
          <w:noProof w:val="0"/>
          <w:sz w:val="24"/>
          <w:szCs w:val="24"/>
          <w:lang w:val="es-ES"/>
        </w:rPr>
        <w:footnoteReference w:id="18754"/>
      </w:r>
      <w:r w:rsidRPr="27D62FEA" w:rsidR="61C70854">
        <w:rPr>
          <w:rFonts w:ascii="Arial Nova" w:hAnsi="Arial Nova" w:eastAsia="Arial Nova" w:cs="Arial Nova"/>
          <w:noProof w:val="0"/>
          <w:sz w:val="24"/>
          <w:szCs w:val="24"/>
          <w:lang w:val="es-ES"/>
        </w:rPr>
        <w:t>, un proceso de caracterización de la minería existente que incluyó: una Asamblea de Cabildos del CRIDEC con su respectiva acta de acuerdos y directrices; 1</w:t>
      </w:r>
      <w:r w:rsidRPr="27D62FEA" w:rsidR="2325011F">
        <w:rPr>
          <w:rFonts w:ascii="Arial Nova" w:hAnsi="Arial Nova" w:eastAsia="Arial Nova" w:cs="Arial Nova"/>
          <w:noProof w:val="0"/>
          <w:sz w:val="24"/>
          <w:szCs w:val="24"/>
          <w:lang w:val="es-ES"/>
        </w:rPr>
        <w:t>5</w:t>
      </w:r>
      <w:r w:rsidRPr="27D62FEA" w:rsidR="61C70854">
        <w:rPr>
          <w:rFonts w:ascii="Arial Nova" w:hAnsi="Arial Nova" w:eastAsia="Arial Nova" w:cs="Arial Nova"/>
          <w:noProof w:val="0"/>
          <w:sz w:val="24"/>
          <w:szCs w:val="24"/>
          <w:lang w:val="es-ES"/>
        </w:rPr>
        <w:t xml:space="preserve"> asambleas territoriales de caracterización con sus informes; un informe de análisis de los instrumentos de diagnóstico aplicados; 1</w:t>
      </w:r>
      <w:r w:rsidRPr="27D62FEA" w:rsidR="7887F6BA">
        <w:rPr>
          <w:rFonts w:ascii="Arial Nova" w:hAnsi="Arial Nova" w:eastAsia="Arial Nova" w:cs="Arial Nova"/>
          <w:noProof w:val="0"/>
          <w:sz w:val="24"/>
          <w:szCs w:val="24"/>
          <w:lang w:val="es-ES"/>
        </w:rPr>
        <w:t>5</w:t>
      </w:r>
      <w:r w:rsidRPr="27D62FEA" w:rsidR="61C70854">
        <w:rPr>
          <w:rFonts w:ascii="Arial Nova" w:hAnsi="Arial Nova" w:eastAsia="Arial Nova" w:cs="Arial Nova"/>
          <w:noProof w:val="0"/>
          <w:sz w:val="24"/>
          <w:szCs w:val="24"/>
          <w:lang w:val="es-ES"/>
        </w:rPr>
        <w:t xml:space="preserve"> actas de asambleas para la formulación de mandatos territoriales junto con la matriz de registro minero indígena propio; un documento técnico de caracterización con base de datos georreferenciada en Excel; un documento de recomendaciones técnicas y jurídicas diferenciado por territorio; y un documento final de orientaciones hacia una política minera diferencial que integra la síntesis de los 1</w:t>
      </w:r>
      <w:r w:rsidRPr="27D62FEA" w:rsidR="3A4055DA">
        <w:rPr>
          <w:rFonts w:ascii="Arial Nova" w:hAnsi="Arial Nova" w:eastAsia="Arial Nova" w:cs="Arial Nova"/>
          <w:noProof w:val="0"/>
          <w:sz w:val="24"/>
          <w:szCs w:val="24"/>
          <w:lang w:val="es-ES"/>
        </w:rPr>
        <w:t>5</w:t>
      </w:r>
      <w:r w:rsidRPr="27D62FEA" w:rsidR="61C70854">
        <w:rPr>
          <w:rFonts w:ascii="Arial Nova" w:hAnsi="Arial Nova" w:eastAsia="Arial Nova" w:cs="Arial Nova"/>
          <w:noProof w:val="0"/>
          <w:sz w:val="24"/>
          <w:szCs w:val="24"/>
          <w:lang w:val="es-ES"/>
        </w:rPr>
        <w:t xml:space="preserve"> mandatos comunitarios, socializado en Asamblea de Cabildos el 26 de febrero de 2026. En materia de Pilotos de Buenas Prácticas Mineras, se suscribió un acta de concertación (19 de diciembre de 2025) entre el CRIDEC y la Dirección de Formalización Minera que definió dos pilotos en los territorios de </w:t>
      </w:r>
      <w:r w:rsidRPr="27D62FEA" w:rsidR="61C70854">
        <w:rPr>
          <w:rFonts w:ascii="Arial Nova" w:hAnsi="Arial Nova" w:eastAsia="Arial Nova" w:cs="Arial Nova"/>
          <w:noProof w:val="0"/>
          <w:sz w:val="24"/>
          <w:szCs w:val="24"/>
          <w:lang w:val="es-ES"/>
        </w:rPr>
        <w:t>Cañamomo</w:t>
      </w:r>
      <w:r w:rsidRPr="27D62FEA" w:rsidR="61C70854">
        <w:rPr>
          <w:rFonts w:ascii="Arial Nova" w:hAnsi="Arial Nova" w:eastAsia="Arial Nova" w:cs="Arial Nova"/>
          <w:noProof w:val="0"/>
          <w:sz w:val="24"/>
          <w:szCs w:val="24"/>
          <w:lang w:val="es-ES"/>
        </w:rPr>
        <w:t xml:space="preserve"> </w:t>
      </w:r>
      <w:r w:rsidRPr="27D62FEA" w:rsidR="61C70854">
        <w:rPr>
          <w:rFonts w:ascii="Arial Nova" w:hAnsi="Arial Nova" w:eastAsia="Arial Nova" w:cs="Arial Nova"/>
          <w:noProof w:val="0"/>
          <w:sz w:val="24"/>
          <w:szCs w:val="24"/>
          <w:lang w:val="es-ES"/>
        </w:rPr>
        <w:t>Lomaprieta</w:t>
      </w:r>
      <w:r w:rsidRPr="27D62FEA" w:rsidR="61C70854">
        <w:rPr>
          <w:rFonts w:ascii="Arial Nova" w:hAnsi="Arial Nova" w:eastAsia="Arial Nova" w:cs="Arial Nova"/>
          <w:noProof w:val="0"/>
          <w:sz w:val="24"/>
          <w:szCs w:val="24"/>
          <w:lang w:val="es-ES"/>
        </w:rPr>
        <w:t xml:space="preserve"> y </w:t>
      </w:r>
      <w:r w:rsidRPr="27D62FEA" w:rsidR="61C70854">
        <w:rPr>
          <w:rFonts w:ascii="Arial Nova" w:hAnsi="Arial Nova" w:eastAsia="Arial Nova" w:cs="Arial Nova"/>
          <w:noProof w:val="0"/>
          <w:sz w:val="24"/>
          <w:szCs w:val="24"/>
          <w:lang w:val="es-ES"/>
        </w:rPr>
        <w:t>Cartama</w:t>
      </w:r>
      <w:r w:rsidRPr="27D62FEA" w:rsidR="61C70854">
        <w:rPr>
          <w:rFonts w:ascii="Arial Nova" w:hAnsi="Arial Nova" w:eastAsia="Arial Nova" w:cs="Arial Nova"/>
          <w:noProof w:val="0"/>
          <w:sz w:val="24"/>
          <w:szCs w:val="24"/>
          <w:lang w:val="es-ES"/>
        </w:rPr>
        <w:t>, seguida de un documento de condiciones legales y técnicas de los proyectos a intervenir, un plan de trabajo con acciones de corto, mediano y largo plazo, y un informe de resultados de la implementación de las acciones de corto plazo. Adicionalmente, se realizó seguimiento administrativo mediante los Comités Técnicos No. 1 (7 de octubre de 2025), No. 2 (14 de octubre de 2025), la reunión de concertación de pilotos (19 de diciembre de 2025) y el Comité Técnico No. 6 (25 de febrero de 2026, Riosucio-Caldas).</w:t>
      </w:r>
    </w:p>
    <w:p xmlns:wp14="http://schemas.microsoft.com/office/word/2010/wordml" w:rsidP="27D62FEA" wp14:paraId="6DA43508" wp14:textId="6A42173B">
      <w:pPr>
        <w:pStyle w:val="Normal"/>
        <w:suppressLineNumbers w:val="0"/>
        <w:bidi w:val="0"/>
        <w:spacing w:before="0" w:beforeAutospacing="off" w:after="160" w:afterAutospacing="off" w:line="279" w:lineRule="auto"/>
        <w:ind w:left="0" w:right="0"/>
        <w:jc w:val="both"/>
        <w:rPr>
          <w:rFonts w:ascii="Arial Nova" w:hAnsi="Arial Nova" w:eastAsia="Arial Nova" w:cs="Arial Nova"/>
          <w:noProof w:val="0"/>
          <w:sz w:val="24"/>
          <w:szCs w:val="24"/>
          <w:lang w:val="es-ES"/>
        </w:rPr>
      </w:pPr>
      <w:r w:rsidRPr="27D62FEA" w:rsidR="61C70854">
        <w:rPr>
          <w:rFonts w:ascii="Arial Nova" w:hAnsi="Arial Nova" w:eastAsia="Arial Nova" w:cs="Arial Nova"/>
          <w:b w:val="1"/>
          <w:bCs w:val="1"/>
          <w:noProof w:val="0"/>
          <w:sz w:val="24"/>
          <w:szCs w:val="24"/>
          <w:lang w:val="es-ES"/>
        </w:rPr>
        <w:t>2. Porcentaje o estado de avance:</w:t>
      </w:r>
      <w:r w:rsidRPr="27D62FEA" w:rsidR="61C70854">
        <w:rPr>
          <w:rFonts w:ascii="Arial Nova" w:hAnsi="Arial Nova" w:eastAsia="Arial Nova" w:cs="Arial Nova"/>
          <w:noProof w:val="0"/>
          <w:sz w:val="24"/>
          <w:szCs w:val="24"/>
          <w:lang w:val="es-ES"/>
        </w:rPr>
        <w:t xml:space="preserve"> Los entregables de Ruta Minera Indígena y Pilotos de Buenas Prácticas Mineras (numerales 1 al 8 del convenio) fueron recibidos a satisfacción por parte de la supervisión del Ministerio, conforme a los Informes de Supervisión No. 2 y No. 3. Financieramente, se </w:t>
      </w:r>
      <w:r w:rsidRPr="27D62FEA" w:rsidR="26997770">
        <w:rPr>
          <w:rFonts w:ascii="Arial Nova" w:hAnsi="Arial Nova" w:eastAsia="Arial Nova" w:cs="Arial Nova"/>
          <w:noProof w:val="0"/>
          <w:sz w:val="24"/>
          <w:szCs w:val="24"/>
          <w:lang w:val="es-ES"/>
        </w:rPr>
        <w:t xml:space="preserve">han </w:t>
      </w:r>
      <w:r w:rsidRPr="27D62FEA" w:rsidR="707CBC44">
        <w:rPr>
          <w:rFonts w:ascii="Arial Nova" w:hAnsi="Arial Nova" w:eastAsia="Arial Nova" w:cs="Arial Nova"/>
          <w:noProof w:val="0"/>
          <w:sz w:val="24"/>
          <w:szCs w:val="24"/>
          <w:lang w:val="es-ES"/>
        </w:rPr>
        <w:t>pagado</w:t>
      </w:r>
      <w:r w:rsidRPr="27D62FEA" w:rsidR="61C70854">
        <w:rPr>
          <w:rFonts w:ascii="Arial Nova" w:hAnsi="Arial Nova" w:eastAsia="Arial Nova" w:cs="Arial Nova"/>
          <w:noProof w:val="0"/>
          <w:sz w:val="24"/>
          <w:szCs w:val="24"/>
          <w:lang w:val="es-ES"/>
        </w:rPr>
        <w:t xml:space="preserve"> </w:t>
      </w:r>
      <w:r w:rsidRPr="27D62FEA" w:rsidR="0EC31C93">
        <w:rPr>
          <w:rFonts w:ascii="Arial Nova" w:hAnsi="Arial Nova" w:eastAsia="Arial Nova" w:cs="Arial Nova"/>
          <w:noProof w:val="0"/>
          <w:sz w:val="24"/>
          <w:szCs w:val="24"/>
          <w:lang w:val="es-ES"/>
        </w:rPr>
        <w:t>dos de</w:t>
      </w:r>
      <w:r w:rsidRPr="27D62FEA" w:rsidR="61C70854">
        <w:rPr>
          <w:rFonts w:ascii="Arial Nova" w:hAnsi="Arial Nova" w:eastAsia="Arial Nova" w:cs="Arial Nova"/>
          <w:noProof w:val="0"/>
          <w:sz w:val="24"/>
          <w:szCs w:val="24"/>
          <w:lang w:val="es-ES"/>
        </w:rPr>
        <w:t>los tres desembolsos pactados para esta línea: primer desembolso del 40% ($416.000.000, radicado 30 de diciembre de 2025), segundo desembolso del 40% ($416.000.000, Radicado No. 1-2026-006764 del 13 de febrero de 2026) y tercer desembolso del 20% ($208.000.000, Radicado No. 1-2026-009687 del 3 de marzo de 2026</w:t>
      </w:r>
      <w:r w:rsidRPr="27D62FEA" w:rsidR="0290CB1B">
        <w:rPr>
          <w:rFonts w:ascii="Arial Nova" w:hAnsi="Arial Nova" w:eastAsia="Arial Nova" w:cs="Arial Nova"/>
          <w:noProof w:val="0"/>
          <w:sz w:val="24"/>
          <w:szCs w:val="24"/>
          <w:lang w:val="es-ES"/>
        </w:rPr>
        <w:t xml:space="preserve"> el cual aún no se ha pagado debido a que se está adelantado la liquidación del convenio, </w:t>
      </w:r>
      <w:r w:rsidRPr="27D62FEA" w:rsidR="207870DC">
        <w:rPr>
          <w:rFonts w:ascii="Arial Nova" w:hAnsi="Arial Nova" w:eastAsia="Arial Nova" w:cs="Arial Nova"/>
          <w:noProof w:val="0"/>
          <w:sz w:val="24"/>
          <w:szCs w:val="24"/>
          <w:lang w:val="es-ES"/>
        </w:rPr>
        <w:t>lo anterior puesto a que ACICAL no ejecutó la totalidad del recurso</w:t>
      </w:r>
      <w:r w:rsidRPr="27D62FEA" w:rsidR="55629E04">
        <w:rPr>
          <w:rFonts w:ascii="Arial Nova" w:hAnsi="Arial Nova" w:eastAsia="Arial Nova" w:cs="Arial Nova"/>
          <w:noProof w:val="0"/>
          <w:sz w:val="24"/>
          <w:szCs w:val="24"/>
          <w:lang w:val="es-ES"/>
        </w:rPr>
        <w:t>).</w:t>
      </w:r>
      <w:r w:rsidRPr="27D62FEA" w:rsidR="61C70854">
        <w:rPr>
          <w:rFonts w:ascii="Arial Nova" w:hAnsi="Arial Nova" w:eastAsia="Arial Nova" w:cs="Arial Nova"/>
          <w:noProof w:val="0"/>
          <w:sz w:val="24"/>
          <w:szCs w:val="24"/>
          <w:lang w:val="es-ES"/>
        </w:rPr>
        <w:t xml:space="preserve"> </w:t>
      </w:r>
      <w:r w:rsidRPr="27D62FEA" w:rsidR="548CDB7C">
        <w:rPr>
          <w:rFonts w:ascii="Arial Nova" w:hAnsi="Arial Nova" w:eastAsia="Arial Nova" w:cs="Arial Nova"/>
          <w:noProof w:val="0"/>
          <w:sz w:val="24"/>
          <w:szCs w:val="24"/>
          <w:lang w:val="es-ES"/>
        </w:rPr>
        <w:t>Por esta razón si bien se ha dado cumplimiento en un 100% de los productos pactados</w:t>
      </w:r>
      <w:r w:rsidRPr="27D62FEA" w:rsidR="341F9920">
        <w:rPr>
          <w:rFonts w:ascii="Arial Nova" w:hAnsi="Arial Nova" w:eastAsia="Arial Nova" w:cs="Arial Nova"/>
          <w:noProof w:val="0"/>
          <w:sz w:val="24"/>
          <w:szCs w:val="24"/>
          <w:lang w:val="es-ES"/>
        </w:rPr>
        <w:t xml:space="preserve"> respecto a la Ruta </w:t>
      </w:r>
      <w:r w:rsidRPr="27D62FEA" w:rsidR="61C70854">
        <w:rPr>
          <w:rFonts w:ascii="Arial Nova" w:hAnsi="Arial Nova" w:eastAsia="Arial Nova" w:cs="Arial Nova"/>
          <w:noProof w:val="0"/>
          <w:sz w:val="24"/>
          <w:szCs w:val="24"/>
          <w:lang w:val="es-ES"/>
        </w:rPr>
        <w:t>Minera y Pilotos</w:t>
      </w:r>
      <w:r w:rsidRPr="27D62FEA" w:rsidR="2DCAAF88">
        <w:rPr>
          <w:rFonts w:ascii="Arial Nova" w:hAnsi="Arial Nova" w:eastAsia="Arial Nova" w:cs="Arial Nova"/>
          <w:noProof w:val="0"/>
          <w:sz w:val="24"/>
          <w:szCs w:val="24"/>
          <w:lang w:val="es-ES"/>
        </w:rPr>
        <w:t xml:space="preserve"> de Buenas </w:t>
      </w:r>
      <w:r w:rsidRPr="27D62FEA" w:rsidR="455D9130">
        <w:rPr>
          <w:rFonts w:ascii="Arial Nova" w:hAnsi="Arial Nova" w:eastAsia="Arial Nova" w:cs="Arial Nova"/>
          <w:noProof w:val="0"/>
          <w:sz w:val="24"/>
          <w:szCs w:val="24"/>
          <w:lang w:val="es-ES"/>
        </w:rPr>
        <w:t>Prácticas</w:t>
      </w:r>
      <w:r w:rsidRPr="27D62FEA" w:rsidR="2DCAAF88">
        <w:rPr>
          <w:rFonts w:ascii="Arial Nova" w:hAnsi="Arial Nova" w:eastAsia="Arial Nova" w:cs="Arial Nova"/>
          <w:noProof w:val="0"/>
          <w:sz w:val="24"/>
          <w:szCs w:val="24"/>
          <w:lang w:val="es-ES"/>
        </w:rPr>
        <w:t>, el recurso no ha sido desembolsado en su totalidad a la organización indígena.</w:t>
      </w:r>
    </w:p>
    <w:p xmlns:wp14="http://schemas.microsoft.com/office/word/2010/wordml" w:rsidP="27D62FEA" wp14:paraId="1598E4FB" wp14:textId="6C84B02D">
      <w:pPr>
        <w:jc w:val="both"/>
      </w:pPr>
      <w:r w:rsidRPr="27D62FEA" w:rsidR="61C70854">
        <w:rPr>
          <w:rFonts w:ascii="Arial Nova" w:hAnsi="Arial Nova" w:eastAsia="Arial Nova" w:cs="Arial Nova"/>
          <w:b w:val="1"/>
          <w:bCs w:val="1"/>
          <w:noProof w:val="0"/>
          <w:sz w:val="24"/>
          <w:szCs w:val="24"/>
          <w:lang w:val="es-ES"/>
        </w:rPr>
        <w:t>3. Resultados obtenidos:</w:t>
      </w:r>
      <w:r w:rsidRPr="27D62FEA" w:rsidR="61C70854">
        <w:rPr>
          <w:rFonts w:ascii="Arial Nova" w:hAnsi="Arial Nova" w:eastAsia="Arial Nova" w:cs="Arial Nova"/>
          <w:noProof w:val="0"/>
          <w:sz w:val="24"/>
          <w:szCs w:val="24"/>
          <w:lang w:val="es-ES"/>
        </w:rPr>
        <w:t xml:space="preserve"> Se completó el proceso de caracterización minera participativa en la totalidad de los </w:t>
      </w:r>
      <w:r w:rsidRPr="27D62FEA" w:rsidR="61C70854">
        <w:rPr>
          <w:rFonts w:ascii="Arial Nova" w:hAnsi="Arial Nova" w:eastAsia="Arial Nova" w:cs="Arial Nova"/>
          <w:noProof w:val="0"/>
          <w:sz w:val="24"/>
          <w:szCs w:val="24"/>
          <w:lang w:val="es-ES"/>
        </w:rPr>
        <w:t>1</w:t>
      </w:r>
      <w:r w:rsidRPr="27D62FEA" w:rsidR="10EEE434">
        <w:rPr>
          <w:rFonts w:ascii="Arial Nova" w:hAnsi="Arial Nova" w:eastAsia="Arial Nova" w:cs="Arial Nova"/>
          <w:noProof w:val="0"/>
          <w:sz w:val="24"/>
          <w:szCs w:val="24"/>
          <w:lang w:val="es-ES"/>
        </w:rPr>
        <w:t>5</w:t>
      </w:r>
      <w:r w:rsidRPr="27D62FEA" w:rsidR="61C70854">
        <w:rPr>
          <w:rFonts w:ascii="Arial Nova" w:hAnsi="Arial Nova" w:eastAsia="Arial Nova" w:cs="Arial Nova"/>
          <w:noProof w:val="0"/>
          <w:sz w:val="24"/>
          <w:szCs w:val="24"/>
          <w:lang w:val="es-ES"/>
        </w:rPr>
        <w:t xml:space="preserve"> territorios indígenas del CRIDEC–ACICAL, con sus respectivos mandatos territoriales aprobados por las comunidades y consolidados en un documento final de orientaciones de política minera diferencial. En materia de pilotos, se identificaron, concertaron e implementaron dos pilotos de buenas prácticas orientados a la disminución de contaminantes, la optimización de procesos y el uso eficiente de recursos en los territorios de Cañamomo Lomaprieta y Cartama, con resultados de implementación a corto plazo ya reportados en temas técnico-mineros, ambientales, de seguridad minera y legales.</w:t>
      </w:r>
    </w:p>
    <w:p xmlns:wp14="http://schemas.microsoft.com/office/word/2010/wordml" w:rsidP="27D62FEA" wp14:paraId="76F1C943" wp14:textId="1927D194">
      <w:pPr>
        <w:jc w:val="both"/>
      </w:pPr>
      <w:r w:rsidRPr="27D62FEA" w:rsidR="61C70854">
        <w:rPr>
          <w:rFonts w:ascii="Arial Nova" w:hAnsi="Arial Nova" w:eastAsia="Arial Nova" w:cs="Arial Nova"/>
          <w:b w:val="1"/>
          <w:bCs w:val="1"/>
          <w:noProof w:val="0"/>
          <w:sz w:val="24"/>
          <w:szCs w:val="24"/>
          <w:lang w:val="es-ES"/>
        </w:rPr>
        <w:t>4. Dificultades o limitaciones:</w:t>
      </w:r>
      <w:r w:rsidRPr="27D62FEA" w:rsidR="61C70854">
        <w:rPr>
          <w:rFonts w:ascii="Arial Nova" w:hAnsi="Arial Nova" w:eastAsia="Arial Nova" w:cs="Arial Nova"/>
          <w:noProof w:val="0"/>
          <w:sz w:val="24"/>
          <w:szCs w:val="24"/>
          <w:lang w:val="es-ES"/>
        </w:rPr>
        <w:t xml:space="preserve"> En la sesión del Comité Técnico No. 6 (25 de febrero de 2026) se formularon observaciones de ajuste conceptual, técnico y metodológico sobre varios de los productos de la Ruta Minera Indígena, así como precisiones sobre su alcance contractual, las cuales se encuentran en proceso de atención por parte del CRIDEC–ACICAL. Adicionalmente, a la fecha el CRIDEC–ACICAL no ha radicado la factura correspondiente al tercer desembolso, dado que, por indicación de la oficina financiera del Ministerio, es necesario surtir previamente el proceso de liquidación del convenio, en razón a que no se ejecutó la totalidad del recurso presupuestado.</w:t>
      </w:r>
    </w:p>
    <w:p xmlns:wp14="http://schemas.microsoft.com/office/word/2010/wordml" w:rsidP="27D62FEA" wp14:paraId="4FC1519C" wp14:textId="56746490">
      <w:pPr>
        <w:jc w:val="both"/>
      </w:pPr>
      <w:r w:rsidRPr="27D62FEA" w:rsidR="61C70854">
        <w:rPr>
          <w:rFonts w:ascii="Arial Nova" w:hAnsi="Arial Nova" w:eastAsia="Arial Nova" w:cs="Arial Nova"/>
          <w:b w:val="1"/>
          <w:bCs w:val="1"/>
          <w:noProof w:val="0"/>
          <w:sz w:val="24"/>
          <w:szCs w:val="24"/>
          <w:lang w:val="es-ES"/>
        </w:rPr>
        <w:t>5. Cronograma de actividades pendientes:</w:t>
      </w:r>
      <w:r w:rsidRPr="27D62FEA" w:rsidR="61C70854">
        <w:rPr>
          <w:rFonts w:ascii="Arial Nova" w:hAnsi="Arial Nova" w:eastAsia="Arial Nova" w:cs="Arial Nova"/>
          <w:noProof w:val="0"/>
          <w:sz w:val="24"/>
          <w:szCs w:val="24"/>
          <w:lang w:val="es-ES"/>
        </w:rPr>
        <w:t xml:space="preserve"> Se encuentra pendiente el trámite de liquidación del Convenio Interadministrativo GGC No. 1731 de 2025, requisito previo para la radicación de la factura del tercer desembolso, así como la atención por parte del CRIDEC–ACICAL de las observaciones formuladas en el Comité Técnico No. 6. No se cuenta a la fecha con una fecha estimada definitiva para la culminación de este trámite, en la medida en que depende de la gestión conjunta entre el área financiera del Ministerio y la organización ejecutora.</w:t>
      </w:r>
    </w:p>
    <w:p xmlns:wp14="http://schemas.microsoft.com/office/word/2010/wordml" w:rsidP="27D62FEA" wp14:paraId="3820D991" wp14:textId="2EDC1903">
      <w:pPr>
        <w:pStyle w:val="Normal"/>
        <w:suppressLineNumbers w:val="0"/>
        <w:bidi w:val="0"/>
        <w:spacing w:before="0" w:beforeAutospacing="off" w:after="160" w:afterAutospacing="off" w:line="279" w:lineRule="auto"/>
        <w:ind w:left="0" w:right="0"/>
        <w:jc w:val="both"/>
      </w:pPr>
      <w:r w:rsidRPr="27D62FEA" w:rsidR="61C70854">
        <w:rPr>
          <w:rFonts w:ascii="Arial Nova" w:hAnsi="Arial Nova" w:eastAsia="Arial Nova" w:cs="Arial Nova"/>
          <w:b w:val="1"/>
          <w:bCs w:val="1"/>
          <w:noProof w:val="0"/>
          <w:sz w:val="24"/>
          <w:szCs w:val="24"/>
          <w:lang w:val="es-ES"/>
        </w:rPr>
        <w:t>6. Soportes documentales:</w:t>
      </w:r>
      <w:r w:rsidRPr="27D62FEA" w:rsidR="61C70854">
        <w:rPr>
          <w:rFonts w:ascii="Arial Nova" w:hAnsi="Arial Nova" w:eastAsia="Arial Nova" w:cs="Arial Nova"/>
          <w:noProof w:val="0"/>
          <w:sz w:val="24"/>
          <w:szCs w:val="24"/>
          <w:lang w:val="es-ES"/>
        </w:rPr>
        <w:t xml:space="preserve"> </w:t>
      </w:r>
      <w:r w:rsidRPr="27D62FEA" w:rsidR="39A6C667">
        <w:rPr>
          <w:rFonts w:ascii="Arial Nova" w:hAnsi="Arial Nova" w:eastAsia="Arial Nova" w:cs="Arial Nova"/>
          <w:noProof w:val="0"/>
          <w:sz w:val="24"/>
          <w:szCs w:val="24"/>
          <w:lang w:val="es-ES"/>
        </w:rPr>
        <w:t>Se anexan a la present</w:t>
      </w:r>
      <w:r w:rsidRPr="27D62FEA" w:rsidR="42E28FEA">
        <w:rPr>
          <w:rFonts w:ascii="Arial Nova" w:hAnsi="Arial Nova" w:eastAsia="Arial Nova" w:cs="Arial Nova"/>
          <w:noProof w:val="0"/>
          <w:sz w:val="24"/>
          <w:szCs w:val="24"/>
          <w:lang w:val="es-ES"/>
        </w:rPr>
        <w:t>e</w:t>
      </w:r>
      <w:r w:rsidRPr="27D62FEA" w:rsidR="39A6C667">
        <w:rPr>
          <w:rFonts w:ascii="Arial Nova" w:hAnsi="Arial Nova" w:eastAsia="Arial Nova" w:cs="Arial Nova"/>
          <w:noProof w:val="0"/>
          <w:sz w:val="24"/>
          <w:szCs w:val="24"/>
          <w:lang w:val="es-ES"/>
        </w:rPr>
        <w:t xml:space="preserve"> respuesta los Estudios Previos y el Acta de Inicio </w:t>
      </w:r>
      <w:r w:rsidRPr="27D62FEA" w:rsidR="61C70854">
        <w:rPr>
          <w:rFonts w:ascii="Arial Nova" w:hAnsi="Arial Nova" w:eastAsia="Arial Nova" w:cs="Arial Nova"/>
          <w:noProof w:val="0"/>
          <w:sz w:val="24"/>
          <w:szCs w:val="24"/>
          <w:lang w:val="es-ES"/>
        </w:rPr>
        <w:t>del Convenio GGC No. 1731 de 2025; acta de acuerdos y directrices de la Asamblea de Cabildos del CRIDEC; 1</w:t>
      </w:r>
      <w:r w:rsidRPr="27D62FEA" w:rsidR="2E850E55">
        <w:rPr>
          <w:rFonts w:ascii="Arial Nova" w:hAnsi="Arial Nova" w:eastAsia="Arial Nova" w:cs="Arial Nova"/>
          <w:noProof w:val="0"/>
          <w:sz w:val="24"/>
          <w:szCs w:val="24"/>
          <w:lang w:val="es-ES"/>
        </w:rPr>
        <w:t>5</w:t>
      </w:r>
      <w:r w:rsidRPr="27D62FEA" w:rsidR="61C70854">
        <w:rPr>
          <w:rFonts w:ascii="Arial Nova" w:hAnsi="Arial Nova" w:eastAsia="Arial Nova" w:cs="Arial Nova"/>
          <w:noProof w:val="0"/>
          <w:sz w:val="24"/>
          <w:szCs w:val="24"/>
          <w:lang w:val="es-ES"/>
        </w:rPr>
        <w:t xml:space="preserve"> informes de asambleas de caracterización; informe de análisis de instrumentos de diagnóstico; 1</w:t>
      </w:r>
      <w:r w:rsidRPr="27D62FEA" w:rsidR="49BE8F40">
        <w:rPr>
          <w:rFonts w:ascii="Arial Nova" w:hAnsi="Arial Nova" w:eastAsia="Arial Nova" w:cs="Arial Nova"/>
          <w:noProof w:val="0"/>
          <w:sz w:val="24"/>
          <w:szCs w:val="24"/>
          <w:lang w:val="es-ES"/>
        </w:rPr>
        <w:t>5</w:t>
      </w:r>
      <w:r w:rsidRPr="27D62FEA" w:rsidR="61C70854">
        <w:rPr>
          <w:rFonts w:ascii="Arial Nova" w:hAnsi="Arial Nova" w:eastAsia="Arial Nova" w:cs="Arial Nova"/>
          <w:noProof w:val="0"/>
          <w:sz w:val="24"/>
          <w:szCs w:val="24"/>
          <w:lang w:val="es-ES"/>
        </w:rPr>
        <w:t xml:space="preserve"> actas de asambleas de formulación de mandatos territoriales y matriz de registro minero indígena; documento técnico de caracterización minera con anexo en Excel; documento de recomendaciones técnicas y jurídicas; documento final de orientaciones de política minera diferencial; acta de concertación de pilotos (19 de diciembre de 2025); documento de condiciones legales y técnicas de los proyectos a intervenir; plan de trabajo de fortalecimiento de los pilotos; informe de resultados de implementación a corto plazo</w:t>
      </w:r>
      <w:r w:rsidRPr="27D62FEA" w:rsidR="0E0EABEE">
        <w:rPr>
          <w:rFonts w:ascii="Arial Nova" w:hAnsi="Arial Nova" w:eastAsia="Arial Nova" w:cs="Arial Nova"/>
          <w:noProof w:val="0"/>
          <w:sz w:val="24"/>
          <w:szCs w:val="24"/>
          <w:lang w:val="es-ES"/>
        </w:rPr>
        <w:t>.</w:t>
      </w:r>
    </w:p>
    <w:p xmlns:wp14="http://schemas.microsoft.com/office/word/2010/wordml" wp14:paraId="5C1A07E2" wp14:textId="6AFE09FB"/>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14="http://schemas.microsoft.com/office/word/2010/wordml" xmlns:w="http://schemas.openxmlformats.org/wordprocessingml/2006/main">
  <w:footnote w:type="separator" w:id="-1">
    <w:p w:rsidR="27D62FEA" w:rsidRDefault="27D62FEA" w14:paraId="5404F266" w14:textId="2B5BD15A">
      <w:pPr>
        <w:spacing w:after="0" w:line="240" w:lineRule="auto"/>
      </w:pPr>
      <w:r>
        <w:separator/>
      </w:r>
    </w:p>
  </w:footnote>
  <w:footnote w:type="continuationSeparator" w:id="0">
    <w:p w:rsidR="27D62FEA" w:rsidRDefault="27D62FEA" w14:paraId="7426EBD5" w14:textId="7AC51B66">
      <w:pPr>
        <w:spacing w:after="0" w:line="240" w:lineRule="auto"/>
      </w:pPr>
      <w:r>
        <w:continuationSeparator/>
      </w:r>
    </w:p>
  </w:footnote>
  <w:footnote w:id="18754">
    <w:p w:rsidR="27D62FEA" w:rsidP="27D62FEA" w:rsidRDefault="27D62FEA" w14:paraId="3D07F6DA" w14:textId="2D0BD0A0">
      <w:pPr>
        <w:pStyle w:val="FootnoteText"/>
        <w:bidi w:val="0"/>
      </w:pPr>
      <w:r w:rsidRPr="27D62FEA">
        <w:rPr>
          <w:rStyle w:val="FootnoteReference"/>
        </w:rPr>
        <w:footnoteRef/>
      </w:r>
      <w:r w:rsidR="27D62FEA">
        <w:rPr/>
        <w:t xml:space="preserve"> Debido a situaciones de orden público y de carácter interno del Resguardo Nuestra Señora de la Montaña, las autoridades indígenas del mismo pidieron no participar en las caracterizaciones de este convenio. Por lo tanto, el mismo se ejecutó en 15 de los 16 territorios indígenas del CRIDEC.</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16D89DB"/>
    <w:rsid w:val="0290CB1B"/>
    <w:rsid w:val="0A947627"/>
    <w:rsid w:val="0B854FA6"/>
    <w:rsid w:val="0E0EABEE"/>
    <w:rsid w:val="0EC31C93"/>
    <w:rsid w:val="10DBBE1B"/>
    <w:rsid w:val="10EEE434"/>
    <w:rsid w:val="1810AAAF"/>
    <w:rsid w:val="1D969E2E"/>
    <w:rsid w:val="207870DC"/>
    <w:rsid w:val="2325011F"/>
    <w:rsid w:val="24AAC92D"/>
    <w:rsid w:val="2659FD3E"/>
    <w:rsid w:val="26997770"/>
    <w:rsid w:val="27D62FEA"/>
    <w:rsid w:val="2DCAAF88"/>
    <w:rsid w:val="2E850E55"/>
    <w:rsid w:val="2F9EADC3"/>
    <w:rsid w:val="341F9920"/>
    <w:rsid w:val="36E71A97"/>
    <w:rsid w:val="39A6C667"/>
    <w:rsid w:val="3A4055DA"/>
    <w:rsid w:val="409BE711"/>
    <w:rsid w:val="42E28FEA"/>
    <w:rsid w:val="455D9130"/>
    <w:rsid w:val="49BE8F40"/>
    <w:rsid w:val="4BD54BCB"/>
    <w:rsid w:val="548CDB7C"/>
    <w:rsid w:val="55629E04"/>
    <w:rsid w:val="5A18C684"/>
    <w:rsid w:val="5CC6B23D"/>
    <w:rsid w:val="5F34A049"/>
    <w:rsid w:val="616D89DB"/>
    <w:rsid w:val="61C70854"/>
    <w:rsid w:val="63F3B7AE"/>
    <w:rsid w:val="707CBC44"/>
    <w:rsid w:val="7887F6BA"/>
    <w:rsid w:val="78D42E8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F50A"/>
  <w15:chartTrackingRefBased/>
  <w15:docId w15:val="{EE79B0B0-ACD6-4A51-8435-95E945241E8D}"/>
  <w:footnotePr>
    <w:footnote w:id="-1"/>
    <w:footnote w:id="0"/>
  </w:footnotePr>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uiPriority w:val="99"/>
    <w:name w:val="footnote text"/>
    <w:basedOn w:val="Normal"/>
    <w:semiHidden/>
    <w:unhideWhenUsed/>
    <w:rsid w:val="27D62FEA"/>
    <w:rPr>
      <w:sz w:val="20"/>
      <w:szCs w:val="20"/>
    </w:rPr>
    <w:pPr>
      <w:spacing w:after="0" w:line="240" w:lineRule="auto"/>
    </w:pPr>
  </w:style>
  <w:style w:type="character" w:styleId="FootnoteReference">
    <w:uiPriority w:val="99"/>
    <w:name w:val="footnote reference"/>
    <w:basedOn w:val="DefaultParagraphFont"/>
    <w:semiHidden/>
    <w:unhideWhenUsed/>
    <w:rsid w:val="27D62F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footnotes" Target="footnotes.xml" Id="R9d47f5cae80140d9"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Nov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2026-06-16T16:40:27.4562100Z</dcterms:created>
  <dcterms:modified xsi:type="dcterms:W3CDTF">2026-06-16T16:54:11.0956361Z</dcterms:modified>
  <dc:creator>MARIA ALEJANDRA GALLEGO SEPULVEDA</dc:creator>
  <lastModifiedBy>FABIAN MAURICIO ROSAS ROSAS</lastModifiedBy>
</coreProperties>
</file>